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6B36F" w14:textId="1BF6711F" w:rsidR="008E31D2" w:rsidRPr="00F647D2" w:rsidRDefault="00F647D2" w:rsidP="00F647D2">
      <w:pPr>
        <w:pStyle w:val="Overskrift2"/>
      </w:pPr>
      <w:r>
        <w:t>Forslag til årsplan i sosiologi og sosialantropologi</w:t>
      </w:r>
    </w:p>
    <w:p w14:paraId="0960DCCD" w14:textId="2A4C1635" w:rsidR="00FB7FC7" w:rsidRDefault="00FB7FC7" w:rsidP="008E31D2"/>
    <w:tbl>
      <w:tblPr>
        <w:tblW w:w="9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017"/>
        <w:gridCol w:w="6917"/>
      </w:tblGrid>
      <w:tr w:rsidR="00F647D2" w:rsidRPr="00F647D2" w14:paraId="23BBA1DB" w14:textId="77777777" w:rsidTr="007C04A8">
        <w:trPr>
          <w:trHeight w:val="275"/>
        </w:trPr>
        <w:tc>
          <w:tcPr>
            <w:tcW w:w="833" w:type="dxa"/>
            <w:shd w:val="clear" w:color="auto" w:fill="F2DBDB" w:themeFill="accent2" w:themeFillTint="33"/>
          </w:tcPr>
          <w:p w14:paraId="7FD60F80" w14:textId="6C08400B" w:rsidR="00F647D2" w:rsidRPr="00F647D2" w:rsidRDefault="00F647D2" w:rsidP="00F647D2">
            <w:pPr>
              <w:pStyle w:val="Overskrift3"/>
              <w:rPr>
                <w:lang w:bidi="nb"/>
              </w:rPr>
            </w:pPr>
            <w:r w:rsidRPr="00F647D2">
              <w:rPr>
                <w:lang w:bidi="nb"/>
              </w:rPr>
              <w:t>Uke</w:t>
            </w:r>
            <w:r>
              <w:rPr>
                <w:lang w:bidi="nb"/>
              </w:rPr>
              <w:t>r</w:t>
            </w:r>
          </w:p>
        </w:tc>
        <w:tc>
          <w:tcPr>
            <w:tcW w:w="2017" w:type="dxa"/>
            <w:shd w:val="clear" w:color="auto" w:fill="F2DBDB" w:themeFill="accent2" w:themeFillTint="33"/>
          </w:tcPr>
          <w:p w14:paraId="521D9D0E" w14:textId="4FFD682E" w:rsidR="00F647D2" w:rsidRPr="00F647D2" w:rsidRDefault="007C04A8" w:rsidP="00F647D2">
            <w:pPr>
              <w:pStyle w:val="Overskrift3"/>
              <w:rPr>
                <w:lang w:bidi="nb"/>
              </w:rPr>
            </w:pPr>
            <w:r>
              <w:rPr>
                <w:lang w:bidi="nb"/>
              </w:rPr>
              <w:t>Kap.</w:t>
            </w:r>
            <w:r w:rsidR="00F647D2" w:rsidRPr="00F647D2">
              <w:rPr>
                <w:lang w:bidi="nb"/>
              </w:rPr>
              <w:t xml:space="preserve"> i lærebok</w:t>
            </w:r>
          </w:p>
        </w:tc>
        <w:tc>
          <w:tcPr>
            <w:tcW w:w="6917" w:type="dxa"/>
            <w:shd w:val="clear" w:color="auto" w:fill="F2DBDB" w:themeFill="accent2" w:themeFillTint="33"/>
          </w:tcPr>
          <w:p w14:paraId="551F1028" w14:textId="77777777" w:rsidR="00F647D2" w:rsidRPr="00F647D2" w:rsidRDefault="00F647D2" w:rsidP="00F647D2">
            <w:pPr>
              <w:pStyle w:val="Overskrift3"/>
              <w:rPr>
                <w:lang w:bidi="nb"/>
              </w:rPr>
            </w:pPr>
            <w:r w:rsidRPr="00F647D2">
              <w:rPr>
                <w:lang w:bidi="nb"/>
              </w:rPr>
              <w:t>Diverse</w:t>
            </w:r>
          </w:p>
        </w:tc>
      </w:tr>
      <w:tr w:rsidR="00F647D2" w:rsidRPr="00F647D2" w14:paraId="30038BF9" w14:textId="77777777" w:rsidTr="007C04A8">
        <w:trPr>
          <w:trHeight w:val="551"/>
        </w:trPr>
        <w:tc>
          <w:tcPr>
            <w:tcW w:w="833" w:type="dxa"/>
          </w:tcPr>
          <w:p w14:paraId="703D016F" w14:textId="5B2C0CAA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2</w:t>
            </w:r>
          </w:p>
        </w:tc>
        <w:tc>
          <w:tcPr>
            <w:tcW w:w="2017" w:type="dxa"/>
          </w:tcPr>
          <w:p w14:paraId="6F6CE5F9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1</w:t>
            </w:r>
          </w:p>
        </w:tc>
        <w:tc>
          <w:tcPr>
            <w:tcW w:w="6917" w:type="dxa"/>
          </w:tcPr>
          <w:p w14:paraId="3FBF7BF7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Lærer elevene skillet mellom individ- og strukturforklaringer. Breivik som mulig case.</w:t>
            </w:r>
          </w:p>
        </w:tc>
      </w:tr>
      <w:tr w:rsidR="00F647D2" w:rsidRPr="00F647D2" w14:paraId="170214F2" w14:textId="77777777" w:rsidTr="007C04A8">
        <w:trPr>
          <w:trHeight w:val="275"/>
        </w:trPr>
        <w:tc>
          <w:tcPr>
            <w:tcW w:w="833" w:type="dxa"/>
          </w:tcPr>
          <w:p w14:paraId="131D8FC0" w14:textId="6B7464A9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70206661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1 og 4</w:t>
            </w:r>
          </w:p>
        </w:tc>
        <w:tc>
          <w:tcPr>
            <w:tcW w:w="6917" w:type="dxa"/>
          </w:tcPr>
          <w:p w14:paraId="260488D5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Sosialisering - i ulike kulturer og ulike tidsperioder</w:t>
            </w:r>
          </w:p>
        </w:tc>
      </w:tr>
      <w:tr w:rsidR="00F647D2" w:rsidRPr="00F647D2" w14:paraId="68BC2DDC" w14:textId="77777777" w:rsidTr="007C04A8">
        <w:trPr>
          <w:trHeight w:val="276"/>
        </w:trPr>
        <w:tc>
          <w:tcPr>
            <w:tcW w:w="833" w:type="dxa"/>
          </w:tcPr>
          <w:p w14:paraId="45EA38EB" w14:textId="50FB556F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45966145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4, 6</w:t>
            </w:r>
          </w:p>
        </w:tc>
        <w:tc>
          <w:tcPr>
            <w:tcW w:w="6917" w:type="dxa"/>
          </w:tcPr>
          <w:p w14:paraId="351E5C00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Skolen og fengselet som sosialt system</w:t>
            </w:r>
          </w:p>
        </w:tc>
      </w:tr>
      <w:tr w:rsidR="00F647D2" w:rsidRPr="00F647D2" w14:paraId="67759E25" w14:textId="77777777" w:rsidTr="007C04A8">
        <w:trPr>
          <w:trHeight w:val="275"/>
        </w:trPr>
        <w:tc>
          <w:tcPr>
            <w:tcW w:w="833" w:type="dxa"/>
          </w:tcPr>
          <w:p w14:paraId="1638442A" w14:textId="0AC37B75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079BC0AD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6,5</w:t>
            </w:r>
          </w:p>
        </w:tc>
        <w:tc>
          <w:tcPr>
            <w:tcW w:w="6917" w:type="dxa"/>
          </w:tcPr>
          <w:p w14:paraId="7D3B4FE9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Sosialt avvik. Pushwagner?</w:t>
            </w:r>
          </w:p>
        </w:tc>
      </w:tr>
      <w:tr w:rsidR="00F647D2" w:rsidRPr="00F647D2" w14:paraId="074C298A" w14:textId="77777777" w:rsidTr="007C04A8">
        <w:trPr>
          <w:trHeight w:val="275"/>
        </w:trPr>
        <w:tc>
          <w:tcPr>
            <w:tcW w:w="833" w:type="dxa"/>
          </w:tcPr>
          <w:p w14:paraId="2640DF10" w14:textId="65DBBC01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21BA38B0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5</w:t>
            </w:r>
          </w:p>
        </w:tc>
        <w:tc>
          <w:tcPr>
            <w:tcW w:w="6917" w:type="dxa"/>
          </w:tcPr>
          <w:p w14:paraId="001D838B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Avvik og kriminalitet. Årsaksteorier.</w:t>
            </w:r>
          </w:p>
        </w:tc>
      </w:tr>
      <w:tr w:rsidR="00F647D2" w:rsidRPr="00F647D2" w14:paraId="372D5FCE" w14:textId="77777777" w:rsidTr="007C04A8">
        <w:trPr>
          <w:trHeight w:val="276"/>
        </w:trPr>
        <w:tc>
          <w:tcPr>
            <w:tcW w:w="833" w:type="dxa"/>
          </w:tcPr>
          <w:p w14:paraId="0FE255E6" w14:textId="79B6730A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79061456" w14:textId="77777777" w:rsidR="00F647D2" w:rsidRPr="00F647D2" w:rsidRDefault="00F647D2" w:rsidP="00F647D2">
            <w:pPr>
              <w:rPr>
                <w:lang w:bidi="nb"/>
              </w:rPr>
            </w:pPr>
          </w:p>
        </w:tc>
        <w:tc>
          <w:tcPr>
            <w:tcW w:w="6917" w:type="dxa"/>
          </w:tcPr>
          <w:p w14:paraId="7947163F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Skrivekurs artikkel Gatekapital</w:t>
            </w:r>
          </w:p>
        </w:tc>
      </w:tr>
      <w:tr w:rsidR="007C04A8" w:rsidRPr="00F647D2" w14:paraId="459EF267" w14:textId="77777777" w:rsidTr="007C04A8">
        <w:trPr>
          <w:trHeight w:val="275"/>
        </w:trPr>
        <w:tc>
          <w:tcPr>
            <w:tcW w:w="833" w:type="dxa"/>
            <w:shd w:val="clear" w:color="auto" w:fill="F79646" w:themeFill="accent6"/>
          </w:tcPr>
          <w:p w14:paraId="62C1317C" w14:textId="6DF43DF1" w:rsidR="007C04A8" w:rsidRPr="00F647D2" w:rsidRDefault="007C04A8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8934" w:type="dxa"/>
            <w:gridSpan w:val="2"/>
            <w:shd w:val="clear" w:color="auto" w:fill="F79646" w:themeFill="accent6"/>
          </w:tcPr>
          <w:p w14:paraId="5A45DF93" w14:textId="77777777" w:rsidR="007C04A8" w:rsidRPr="00F647D2" w:rsidRDefault="007C04A8" w:rsidP="007C04A8">
            <w:pPr>
              <w:jc w:val="center"/>
              <w:rPr>
                <w:lang w:bidi="nb"/>
              </w:rPr>
            </w:pPr>
            <w:r w:rsidRPr="00F647D2">
              <w:rPr>
                <w:lang w:bidi="nb"/>
              </w:rPr>
              <w:t>HØSTFERIE</w:t>
            </w:r>
          </w:p>
        </w:tc>
      </w:tr>
      <w:tr w:rsidR="00F647D2" w:rsidRPr="00F647D2" w14:paraId="406657CC" w14:textId="77777777" w:rsidTr="007C04A8">
        <w:trPr>
          <w:trHeight w:val="827"/>
        </w:trPr>
        <w:tc>
          <w:tcPr>
            <w:tcW w:w="833" w:type="dxa"/>
          </w:tcPr>
          <w:p w14:paraId="7DC637C0" w14:textId="43918D5E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3855B4E4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7</w:t>
            </w:r>
          </w:p>
        </w:tc>
        <w:tc>
          <w:tcPr>
            <w:tcW w:w="6917" w:type="dxa"/>
          </w:tcPr>
          <w:p w14:paraId="4B095749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Innlevering artikkel. Media og sosialisering. Ulike teorier om påvirkning. Hvordan kommuniserer vi gjennom mediene?</w:t>
            </w:r>
          </w:p>
        </w:tc>
      </w:tr>
      <w:tr w:rsidR="00F647D2" w:rsidRPr="00F647D2" w14:paraId="3ED4ECFB" w14:textId="77777777" w:rsidTr="007C04A8">
        <w:trPr>
          <w:trHeight w:val="1656"/>
        </w:trPr>
        <w:tc>
          <w:tcPr>
            <w:tcW w:w="833" w:type="dxa"/>
          </w:tcPr>
          <w:p w14:paraId="31430381" w14:textId="130350F4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72EA2FE5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7, 2,3</w:t>
            </w:r>
          </w:p>
        </w:tc>
        <w:tc>
          <w:tcPr>
            <w:tcW w:w="6917" w:type="dxa"/>
          </w:tcPr>
          <w:p w14:paraId="1D3C61B3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Gruppeframlegg om påvirkning og kommunikasjon i ulike former for sosiale medier. Trekk et sosialt medium. Gjennomgang om kvantitativ metode.</w:t>
            </w:r>
          </w:p>
          <w:p w14:paraId="307CCD18" w14:textId="2ADD0CBB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Lage spørreskjema knyttet til bruk av sosiale medier eller lignende.</w:t>
            </w:r>
          </w:p>
        </w:tc>
      </w:tr>
      <w:tr w:rsidR="00F647D2" w:rsidRPr="00F647D2" w14:paraId="2F40039E" w14:textId="77777777" w:rsidTr="007C04A8">
        <w:trPr>
          <w:trHeight w:val="552"/>
        </w:trPr>
        <w:tc>
          <w:tcPr>
            <w:tcW w:w="833" w:type="dxa"/>
          </w:tcPr>
          <w:p w14:paraId="09943C2B" w14:textId="5E015399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16D4EF14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8</w:t>
            </w:r>
          </w:p>
        </w:tc>
        <w:tc>
          <w:tcPr>
            <w:tcW w:w="6917" w:type="dxa"/>
          </w:tcPr>
          <w:p w14:paraId="01E48140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Oppstart kultur. Lære elevene forskjellene på et</w:t>
            </w:r>
          </w:p>
          <w:p w14:paraId="363F2375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statisk og dynamisk kulturbegrep.</w:t>
            </w:r>
          </w:p>
        </w:tc>
      </w:tr>
      <w:tr w:rsidR="00F647D2" w:rsidRPr="00F647D2" w14:paraId="072B9CDC" w14:textId="77777777" w:rsidTr="007C04A8">
        <w:trPr>
          <w:trHeight w:val="275"/>
        </w:trPr>
        <w:tc>
          <w:tcPr>
            <w:tcW w:w="833" w:type="dxa"/>
          </w:tcPr>
          <w:p w14:paraId="45D79326" w14:textId="656FC9E7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7A34EEF8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8-9</w:t>
            </w:r>
          </w:p>
        </w:tc>
        <w:tc>
          <w:tcPr>
            <w:tcW w:w="6917" w:type="dxa"/>
          </w:tcPr>
          <w:p w14:paraId="5BC09BF3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Etnisitet. Oppstart kulturelle variasjoner</w:t>
            </w:r>
          </w:p>
        </w:tc>
      </w:tr>
      <w:tr w:rsidR="00F647D2" w:rsidRPr="00F647D2" w14:paraId="2385DA50" w14:textId="77777777" w:rsidTr="007C04A8">
        <w:trPr>
          <w:trHeight w:val="551"/>
        </w:trPr>
        <w:tc>
          <w:tcPr>
            <w:tcW w:w="833" w:type="dxa"/>
          </w:tcPr>
          <w:p w14:paraId="2F2D66C2" w14:textId="690DD795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7BCBFB36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9</w:t>
            </w:r>
          </w:p>
        </w:tc>
        <w:tc>
          <w:tcPr>
            <w:tcW w:w="6917" w:type="dxa"/>
          </w:tcPr>
          <w:p w14:paraId="5B71458B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Sammenligne kulturer. Naskapi og kungfolket som mulige case</w:t>
            </w:r>
          </w:p>
        </w:tc>
      </w:tr>
      <w:tr w:rsidR="00F647D2" w:rsidRPr="00F647D2" w14:paraId="686FFABF" w14:textId="77777777" w:rsidTr="007C04A8">
        <w:trPr>
          <w:trHeight w:val="828"/>
        </w:trPr>
        <w:tc>
          <w:tcPr>
            <w:tcW w:w="833" w:type="dxa"/>
          </w:tcPr>
          <w:p w14:paraId="6114E95B" w14:textId="4D4537BA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7A492E08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10</w:t>
            </w:r>
          </w:p>
        </w:tc>
        <w:tc>
          <w:tcPr>
            <w:tcW w:w="6917" w:type="dxa"/>
          </w:tcPr>
          <w:p w14:paraId="6477F146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Flerkulturelle samfunn. Lære elevene hvordan konstruerte skiller mellom «oss» og «dem» kan skape utfordringer i flerkulturelle samfunn.</w:t>
            </w:r>
          </w:p>
        </w:tc>
      </w:tr>
      <w:tr w:rsidR="00F647D2" w:rsidRPr="00F647D2" w14:paraId="3C515CD1" w14:textId="77777777" w:rsidTr="007C04A8">
        <w:trPr>
          <w:trHeight w:val="551"/>
        </w:trPr>
        <w:tc>
          <w:tcPr>
            <w:tcW w:w="833" w:type="dxa"/>
          </w:tcPr>
          <w:p w14:paraId="2AF355F1" w14:textId="6E78945F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5434CF3F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10-11</w:t>
            </w:r>
          </w:p>
        </w:tc>
        <w:tc>
          <w:tcPr>
            <w:tcW w:w="6917" w:type="dxa"/>
          </w:tcPr>
          <w:p w14:paraId="08FF95C8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Mulighetene i flerkulturelle samfunn. Oppstart</w:t>
            </w:r>
          </w:p>
          <w:p w14:paraId="5021D0BA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religion.</w:t>
            </w:r>
          </w:p>
        </w:tc>
      </w:tr>
      <w:tr w:rsidR="00F647D2" w:rsidRPr="00F647D2" w14:paraId="3459B7FB" w14:textId="77777777" w:rsidTr="007C04A8">
        <w:trPr>
          <w:trHeight w:val="551"/>
        </w:trPr>
        <w:tc>
          <w:tcPr>
            <w:tcW w:w="833" w:type="dxa"/>
          </w:tcPr>
          <w:p w14:paraId="18629153" w14:textId="6A2D442A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186DD700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11</w:t>
            </w:r>
          </w:p>
        </w:tc>
        <w:tc>
          <w:tcPr>
            <w:tcW w:w="6917" w:type="dxa"/>
          </w:tcPr>
          <w:p w14:paraId="019460FF" w14:textId="71E22BE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Religion.</w:t>
            </w:r>
          </w:p>
        </w:tc>
      </w:tr>
      <w:tr w:rsidR="00F647D2" w:rsidRPr="00F647D2" w14:paraId="63453219" w14:textId="77777777" w:rsidTr="007C04A8">
        <w:trPr>
          <w:trHeight w:val="828"/>
        </w:trPr>
        <w:tc>
          <w:tcPr>
            <w:tcW w:w="833" w:type="dxa"/>
          </w:tcPr>
          <w:p w14:paraId="70F3EB81" w14:textId="37D387BE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589E989A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2, 3</w:t>
            </w:r>
          </w:p>
        </w:tc>
        <w:tc>
          <w:tcPr>
            <w:tcW w:w="6917" w:type="dxa"/>
          </w:tcPr>
          <w:p w14:paraId="5751415B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Vurdering kultur og re</w:t>
            </w:r>
            <w:bookmarkStart w:id="0" w:name="_GoBack"/>
            <w:bookmarkEnd w:id="0"/>
            <w:r w:rsidRPr="00F647D2">
              <w:rPr>
                <w:lang w:bidi="nb"/>
              </w:rPr>
              <w:t>ligion. Gjennomgang om kvalitativ metode: intervju og feltarbeid. Forberede kort feltarbeid i juleferien?</w:t>
            </w:r>
          </w:p>
        </w:tc>
      </w:tr>
      <w:tr w:rsidR="00F647D2" w:rsidRPr="00F647D2" w14:paraId="15D9B9A9" w14:textId="77777777" w:rsidTr="007C04A8">
        <w:trPr>
          <w:trHeight w:val="275"/>
        </w:trPr>
        <w:tc>
          <w:tcPr>
            <w:tcW w:w="833" w:type="dxa"/>
          </w:tcPr>
          <w:p w14:paraId="709FD474" w14:textId="0EE8EB4F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2</w:t>
            </w:r>
          </w:p>
        </w:tc>
        <w:tc>
          <w:tcPr>
            <w:tcW w:w="2017" w:type="dxa"/>
          </w:tcPr>
          <w:p w14:paraId="3EA64B25" w14:textId="77777777" w:rsidR="00F647D2" w:rsidRPr="00F647D2" w:rsidRDefault="00F647D2" w:rsidP="00F647D2">
            <w:pPr>
              <w:rPr>
                <w:lang w:bidi="nb"/>
              </w:rPr>
            </w:pPr>
          </w:p>
        </w:tc>
        <w:tc>
          <w:tcPr>
            <w:tcW w:w="6917" w:type="dxa"/>
          </w:tcPr>
          <w:p w14:paraId="0C9D9E97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Fortsette temaet fra uken før + tentamener</w:t>
            </w:r>
          </w:p>
        </w:tc>
      </w:tr>
      <w:tr w:rsidR="00CB3B60" w:rsidRPr="00F647D2" w14:paraId="42860EC6" w14:textId="77777777" w:rsidTr="00A1786F">
        <w:trPr>
          <w:trHeight w:val="275"/>
        </w:trPr>
        <w:tc>
          <w:tcPr>
            <w:tcW w:w="833" w:type="dxa"/>
            <w:shd w:val="clear" w:color="auto" w:fill="F7C9AC"/>
          </w:tcPr>
          <w:p w14:paraId="5CB441B7" w14:textId="54390881" w:rsidR="00CB3B60" w:rsidRPr="00F647D2" w:rsidRDefault="00CB3B60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8934" w:type="dxa"/>
            <w:gridSpan w:val="2"/>
            <w:shd w:val="clear" w:color="auto" w:fill="F7C9AC"/>
          </w:tcPr>
          <w:p w14:paraId="4F60756F" w14:textId="77777777" w:rsidR="00CB3B60" w:rsidRPr="00F647D2" w:rsidRDefault="00CB3B60" w:rsidP="00CB3B60">
            <w:pPr>
              <w:jc w:val="center"/>
              <w:rPr>
                <w:lang w:bidi="nb"/>
              </w:rPr>
            </w:pPr>
            <w:r w:rsidRPr="00F647D2">
              <w:rPr>
                <w:lang w:bidi="nb"/>
              </w:rPr>
              <w:t>JULEFERIE</w:t>
            </w:r>
          </w:p>
        </w:tc>
      </w:tr>
      <w:tr w:rsidR="00F647D2" w:rsidRPr="00F647D2" w14:paraId="187997C7" w14:textId="77777777" w:rsidTr="007C04A8">
        <w:trPr>
          <w:trHeight w:val="275"/>
        </w:trPr>
        <w:tc>
          <w:tcPr>
            <w:tcW w:w="833" w:type="dxa"/>
          </w:tcPr>
          <w:p w14:paraId="2BF1878A" w14:textId="666979EB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2</w:t>
            </w:r>
          </w:p>
        </w:tc>
        <w:tc>
          <w:tcPr>
            <w:tcW w:w="2017" w:type="dxa"/>
          </w:tcPr>
          <w:p w14:paraId="6BE98927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3</w:t>
            </w:r>
          </w:p>
        </w:tc>
        <w:tc>
          <w:tcPr>
            <w:tcW w:w="6917" w:type="dxa"/>
          </w:tcPr>
          <w:p w14:paraId="793F9D11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Forsk selv!</w:t>
            </w:r>
          </w:p>
        </w:tc>
      </w:tr>
      <w:tr w:rsidR="00F647D2" w:rsidRPr="00F647D2" w14:paraId="52B885F9" w14:textId="77777777" w:rsidTr="007C04A8">
        <w:trPr>
          <w:trHeight w:val="276"/>
        </w:trPr>
        <w:tc>
          <w:tcPr>
            <w:tcW w:w="833" w:type="dxa"/>
          </w:tcPr>
          <w:p w14:paraId="0BC077DA" w14:textId="0865F1DD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71C28F67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3</w:t>
            </w:r>
          </w:p>
        </w:tc>
        <w:tc>
          <w:tcPr>
            <w:tcW w:w="6917" w:type="dxa"/>
          </w:tcPr>
          <w:p w14:paraId="50045EE0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Forsk selv</w:t>
            </w:r>
          </w:p>
        </w:tc>
      </w:tr>
      <w:tr w:rsidR="00F647D2" w:rsidRPr="00F647D2" w14:paraId="7391CC3F" w14:textId="77777777" w:rsidTr="007C04A8">
        <w:trPr>
          <w:trHeight w:val="275"/>
        </w:trPr>
        <w:tc>
          <w:tcPr>
            <w:tcW w:w="833" w:type="dxa"/>
          </w:tcPr>
          <w:p w14:paraId="0BF8900E" w14:textId="20B22FB5" w:rsidR="00F647D2" w:rsidRPr="00F647D2" w:rsidRDefault="00F647D2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59BB2075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16</w:t>
            </w:r>
          </w:p>
        </w:tc>
        <w:tc>
          <w:tcPr>
            <w:tcW w:w="6917" w:type="dxa"/>
          </w:tcPr>
          <w:p w14:paraId="7AD90B42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Fordelingen av goder i Norge</w:t>
            </w:r>
          </w:p>
        </w:tc>
      </w:tr>
      <w:tr w:rsidR="00F647D2" w:rsidRPr="00F647D2" w14:paraId="15363CDF" w14:textId="77777777" w:rsidTr="007C04A8">
        <w:trPr>
          <w:trHeight w:val="274"/>
        </w:trPr>
        <w:tc>
          <w:tcPr>
            <w:tcW w:w="833" w:type="dxa"/>
          </w:tcPr>
          <w:p w14:paraId="3B559508" w14:textId="7B05B97A" w:rsidR="00F647D2" w:rsidRPr="00F647D2" w:rsidRDefault="00D445C1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5D432F64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16</w:t>
            </w:r>
          </w:p>
        </w:tc>
        <w:tc>
          <w:tcPr>
            <w:tcW w:w="6917" w:type="dxa"/>
          </w:tcPr>
          <w:p w14:paraId="757E0736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Ulike forklaringer på fordelingen av goder. Lære</w:t>
            </w:r>
          </w:p>
          <w:p w14:paraId="7EE7946E" w14:textId="2F98B051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elevene skille mellom individ- og s</w:t>
            </w:r>
            <w:r w:rsidR="00D445C1">
              <w:rPr>
                <w:lang w:bidi="nb"/>
              </w:rPr>
              <w:t>trukturforklaringer fra kap 1 + teorier</w:t>
            </w:r>
          </w:p>
        </w:tc>
      </w:tr>
      <w:tr w:rsidR="00F647D2" w:rsidRPr="00F647D2" w14:paraId="2F56E2F5" w14:textId="77777777" w:rsidTr="007C04A8">
        <w:trPr>
          <w:trHeight w:val="552"/>
        </w:trPr>
        <w:tc>
          <w:tcPr>
            <w:tcW w:w="833" w:type="dxa"/>
          </w:tcPr>
          <w:p w14:paraId="5CC9E2B2" w14:textId="578A8112" w:rsidR="00F647D2" w:rsidRPr="00F647D2" w:rsidRDefault="00D445C1" w:rsidP="00F647D2">
            <w:pPr>
              <w:rPr>
                <w:lang w:bidi="nb"/>
              </w:rPr>
            </w:pPr>
            <w:r>
              <w:rPr>
                <w:lang w:bidi="nb"/>
              </w:rPr>
              <w:lastRenderedPageBreak/>
              <w:t>1</w:t>
            </w:r>
          </w:p>
        </w:tc>
        <w:tc>
          <w:tcPr>
            <w:tcW w:w="2017" w:type="dxa"/>
          </w:tcPr>
          <w:p w14:paraId="480A9C88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18</w:t>
            </w:r>
          </w:p>
        </w:tc>
        <w:tc>
          <w:tcPr>
            <w:tcW w:w="6917" w:type="dxa"/>
          </w:tcPr>
          <w:p w14:paraId="5A23ED63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Ideologier: ulike oppfatninger av rettferdighet. Ulike prinsipper for fordeling av goder</w:t>
            </w:r>
          </w:p>
        </w:tc>
      </w:tr>
      <w:tr w:rsidR="00F647D2" w:rsidRPr="00F647D2" w14:paraId="0AFEBCA9" w14:textId="77777777" w:rsidTr="007C04A8">
        <w:trPr>
          <w:trHeight w:val="275"/>
        </w:trPr>
        <w:tc>
          <w:tcPr>
            <w:tcW w:w="833" w:type="dxa"/>
          </w:tcPr>
          <w:p w14:paraId="334D8B60" w14:textId="3A762893" w:rsidR="00F647D2" w:rsidRPr="00F647D2" w:rsidRDefault="00D445C1" w:rsidP="00F647D2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</w:tcPr>
          <w:p w14:paraId="40E8A875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18- 17</w:t>
            </w:r>
          </w:p>
        </w:tc>
        <w:tc>
          <w:tcPr>
            <w:tcW w:w="6917" w:type="dxa"/>
          </w:tcPr>
          <w:p w14:paraId="38936E64" w14:textId="77777777" w:rsidR="00F647D2" w:rsidRPr="00F647D2" w:rsidRDefault="00F647D2" w:rsidP="00F647D2">
            <w:pPr>
              <w:rPr>
                <w:lang w:bidi="nb"/>
              </w:rPr>
            </w:pPr>
            <w:r w:rsidRPr="00F647D2">
              <w:rPr>
                <w:lang w:bidi="nb"/>
              </w:rPr>
              <w:t>Sosial mobilitet</w:t>
            </w:r>
          </w:p>
        </w:tc>
      </w:tr>
      <w:tr w:rsidR="00D445C1" w14:paraId="2D46EAF9" w14:textId="77777777" w:rsidTr="007C0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F1BC523" w14:textId="4E1498C9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6B4B315" w14:textId="77777777" w:rsidR="00D445C1" w:rsidRDefault="00D445C1" w:rsidP="00D445C1">
            <w:pPr>
              <w:jc w:val="center"/>
              <w:rPr>
                <w:lang w:bidi="nb"/>
              </w:rPr>
            </w:pPr>
            <w:r>
              <w:rPr>
                <w:lang w:bidi="nb"/>
              </w:rPr>
              <w:t>VINTERFERIE</w:t>
            </w:r>
          </w:p>
        </w:tc>
      </w:tr>
      <w:tr w:rsidR="00D445C1" w14:paraId="75561E3E" w14:textId="77777777" w:rsidTr="007C0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ABB" w14:textId="49E4ABCC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6B38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Oppsummering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2187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Vurdering? Fagsamtale?</w:t>
            </w:r>
          </w:p>
        </w:tc>
      </w:tr>
      <w:tr w:rsidR="00D445C1" w14:paraId="1DFC0FFC" w14:textId="77777777" w:rsidTr="007C0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770" w14:textId="5896A0C3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B15A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12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B657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Produksjon og arbeid med fokus på fremveksten av ulike samfunnstyper</w:t>
            </w:r>
          </w:p>
        </w:tc>
      </w:tr>
      <w:tr w:rsidR="00D445C1" w14:paraId="7BB3B764" w14:textId="77777777" w:rsidTr="007C0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EAFF" w14:textId="35E582FF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182B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12-13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1A2A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Kunnskapssamfunnet og arbeid som sosiologisk</w:t>
            </w:r>
          </w:p>
          <w:p w14:paraId="1CC9905B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begrep</w:t>
            </w:r>
          </w:p>
        </w:tc>
      </w:tr>
      <w:tr w:rsidR="00D445C1" w14:paraId="1544179D" w14:textId="77777777" w:rsidTr="007C0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88F6A58" w14:textId="596F0599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8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FCAE1C5" w14:textId="77777777" w:rsidR="00D445C1" w:rsidRDefault="00D445C1" w:rsidP="00D445C1">
            <w:pPr>
              <w:jc w:val="center"/>
              <w:rPr>
                <w:lang w:bidi="nb"/>
              </w:rPr>
            </w:pPr>
            <w:r>
              <w:rPr>
                <w:lang w:bidi="nb"/>
              </w:rPr>
              <w:t>PÅSKEFERIE</w:t>
            </w:r>
          </w:p>
        </w:tc>
      </w:tr>
      <w:tr w:rsidR="00D445C1" w14:paraId="3D2A5FEF" w14:textId="77777777" w:rsidTr="007C0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9BBA" w14:textId="03D0E40A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2986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13-14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FCBA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Arbeid og organisasjonsteorier</w:t>
            </w:r>
          </w:p>
        </w:tc>
      </w:tr>
      <w:tr w:rsidR="00D445C1" w14:paraId="791A593F" w14:textId="77777777" w:rsidTr="007C0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311D" w14:textId="130053F9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DE7B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14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F053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Organisasjonsteorier.</w:t>
            </w:r>
          </w:p>
        </w:tc>
      </w:tr>
      <w:tr w:rsidR="00D445C1" w14:paraId="527DF5B5" w14:textId="77777777" w:rsidTr="007C0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AF77" w14:textId="21207C65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1929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15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04D3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Internasjonal arbeidsdeling</w:t>
            </w:r>
          </w:p>
        </w:tc>
      </w:tr>
      <w:tr w:rsidR="00D445C1" w14:paraId="71508E06" w14:textId="77777777" w:rsidTr="007C0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FF8A" w14:textId="6FEC9FD6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225A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Oppsummering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D300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Vurdering?</w:t>
            </w:r>
          </w:p>
        </w:tc>
      </w:tr>
      <w:tr w:rsidR="00D445C1" w14:paraId="2064E3F4" w14:textId="77777777" w:rsidTr="007C0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7304" w14:textId="645F46C9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3D96" w14:textId="77777777" w:rsidR="00D445C1" w:rsidRDefault="00D445C1" w:rsidP="00D445C1">
            <w:pPr>
              <w:rPr>
                <w:lang w:bidi="nb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B39" w14:textId="77777777" w:rsidR="00D445C1" w:rsidRDefault="00D445C1" w:rsidP="00D445C1">
            <w:pPr>
              <w:rPr>
                <w:lang w:bidi="nb"/>
              </w:rPr>
            </w:pPr>
            <w:r>
              <w:rPr>
                <w:lang w:bidi="nb"/>
              </w:rPr>
              <w:t>Orientere om hvordan muntlig eksamen foregår. Repetisjon. Prøvemuntlig?</w:t>
            </w:r>
          </w:p>
        </w:tc>
      </w:tr>
    </w:tbl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344"/>
        <w:gridCol w:w="5718"/>
      </w:tblGrid>
      <w:tr w:rsidR="00D445C1" w14:paraId="71A6EA36" w14:textId="77777777" w:rsidTr="007C04A8">
        <w:trPr>
          <w:trHeight w:val="275"/>
        </w:trPr>
        <w:tc>
          <w:tcPr>
            <w:tcW w:w="719" w:type="dxa"/>
          </w:tcPr>
          <w:p w14:paraId="5989C00F" w14:textId="3A40AE4F" w:rsidR="00D445C1" w:rsidRDefault="00D445C1" w:rsidP="008C11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2" w:type="dxa"/>
            <w:gridSpan w:val="2"/>
            <w:vMerge w:val="restart"/>
          </w:tcPr>
          <w:p w14:paraId="1499F70A" w14:textId="77777777" w:rsidR="00D445C1" w:rsidRDefault="00D445C1" w:rsidP="008C1172">
            <w:pPr>
              <w:pStyle w:val="TableParagraph"/>
              <w:spacing w:line="240" w:lineRule="auto"/>
              <w:ind w:left="106" w:right="1455"/>
              <w:rPr>
                <w:sz w:val="24"/>
              </w:rPr>
            </w:pPr>
            <w:r>
              <w:rPr>
                <w:sz w:val="24"/>
              </w:rPr>
              <w:t>Ettersom noe av undervisningstiden faller bort, har vi regnet med ca. 34 undervisningsuker og de siste ukene her står derfor tomme.</w:t>
            </w:r>
          </w:p>
        </w:tc>
      </w:tr>
      <w:tr w:rsidR="00D445C1" w14:paraId="5E0F3758" w14:textId="77777777" w:rsidTr="007C04A8">
        <w:trPr>
          <w:trHeight w:val="276"/>
        </w:trPr>
        <w:tc>
          <w:tcPr>
            <w:tcW w:w="719" w:type="dxa"/>
          </w:tcPr>
          <w:p w14:paraId="2B740092" w14:textId="2F605D12" w:rsidR="00D445C1" w:rsidRDefault="00D445C1" w:rsidP="008C117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2" w:type="dxa"/>
            <w:gridSpan w:val="2"/>
            <w:vMerge/>
            <w:tcBorders>
              <w:top w:val="nil"/>
            </w:tcBorders>
          </w:tcPr>
          <w:p w14:paraId="1C46AAB2" w14:textId="77777777" w:rsidR="00D445C1" w:rsidRDefault="00D445C1" w:rsidP="008C1172">
            <w:pPr>
              <w:rPr>
                <w:sz w:val="2"/>
                <w:szCs w:val="2"/>
              </w:rPr>
            </w:pPr>
          </w:p>
        </w:tc>
      </w:tr>
      <w:tr w:rsidR="00D445C1" w14:paraId="782DAFAF" w14:textId="77777777" w:rsidTr="007C04A8">
        <w:trPr>
          <w:trHeight w:val="275"/>
        </w:trPr>
        <w:tc>
          <w:tcPr>
            <w:tcW w:w="719" w:type="dxa"/>
          </w:tcPr>
          <w:p w14:paraId="08CB0C28" w14:textId="2A3484BD" w:rsidR="00D445C1" w:rsidRDefault="00D445C1" w:rsidP="008C11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2" w:type="dxa"/>
            <w:gridSpan w:val="2"/>
            <w:vMerge/>
            <w:tcBorders>
              <w:top w:val="nil"/>
            </w:tcBorders>
          </w:tcPr>
          <w:p w14:paraId="709DFE32" w14:textId="77777777" w:rsidR="00D445C1" w:rsidRDefault="00D445C1" w:rsidP="008C1172">
            <w:pPr>
              <w:rPr>
                <w:sz w:val="2"/>
                <w:szCs w:val="2"/>
              </w:rPr>
            </w:pPr>
          </w:p>
        </w:tc>
      </w:tr>
      <w:tr w:rsidR="00D445C1" w14:paraId="11F8533D" w14:textId="77777777" w:rsidTr="007C04A8">
        <w:trPr>
          <w:trHeight w:val="275"/>
        </w:trPr>
        <w:tc>
          <w:tcPr>
            <w:tcW w:w="719" w:type="dxa"/>
          </w:tcPr>
          <w:p w14:paraId="0BB9BF98" w14:textId="58188DBF" w:rsidR="00D445C1" w:rsidRDefault="00D445C1" w:rsidP="008C11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2" w:type="dxa"/>
            <w:gridSpan w:val="2"/>
            <w:vMerge/>
            <w:tcBorders>
              <w:top w:val="nil"/>
            </w:tcBorders>
          </w:tcPr>
          <w:p w14:paraId="6FF7D6CC" w14:textId="77777777" w:rsidR="00D445C1" w:rsidRDefault="00D445C1" w:rsidP="008C1172">
            <w:pPr>
              <w:rPr>
                <w:sz w:val="2"/>
                <w:szCs w:val="2"/>
              </w:rPr>
            </w:pPr>
          </w:p>
        </w:tc>
      </w:tr>
      <w:tr w:rsidR="00D445C1" w14:paraId="7DE25900" w14:textId="77777777" w:rsidTr="007C04A8">
        <w:trPr>
          <w:trHeight w:val="275"/>
        </w:trPr>
        <w:tc>
          <w:tcPr>
            <w:tcW w:w="719" w:type="dxa"/>
          </w:tcPr>
          <w:p w14:paraId="7E9DF9D6" w14:textId="3A1AB96F" w:rsidR="00D445C1" w:rsidRDefault="00D445C1" w:rsidP="008C11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2" w:type="dxa"/>
            <w:gridSpan w:val="2"/>
            <w:vMerge/>
            <w:tcBorders>
              <w:top w:val="nil"/>
            </w:tcBorders>
          </w:tcPr>
          <w:p w14:paraId="0D868D2B" w14:textId="77777777" w:rsidR="00D445C1" w:rsidRDefault="00D445C1" w:rsidP="008C1172">
            <w:pPr>
              <w:rPr>
                <w:sz w:val="2"/>
                <w:szCs w:val="2"/>
              </w:rPr>
            </w:pPr>
          </w:p>
        </w:tc>
      </w:tr>
      <w:tr w:rsidR="00D445C1" w14:paraId="3B75AEAB" w14:textId="77777777" w:rsidTr="007C04A8">
        <w:trPr>
          <w:trHeight w:val="276"/>
        </w:trPr>
        <w:tc>
          <w:tcPr>
            <w:tcW w:w="719" w:type="dxa"/>
          </w:tcPr>
          <w:p w14:paraId="6F7D3F8C" w14:textId="5495AC25" w:rsidR="00D445C1" w:rsidRDefault="00D445C1" w:rsidP="008C117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4" w:type="dxa"/>
          </w:tcPr>
          <w:p w14:paraId="32FBC317" w14:textId="77777777" w:rsidR="00D445C1" w:rsidRDefault="00D445C1" w:rsidP="008C11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718" w:type="dxa"/>
          </w:tcPr>
          <w:p w14:paraId="7F780C1D" w14:textId="77777777" w:rsidR="00D445C1" w:rsidRDefault="00D445C1" w:rsidP="008C117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Eventuelt muntlig eksamen?</w:t>
            </w:r>
          </w:p>
        </w:tc>
      </w:tr>
    </w:tbl>
    <w:p w14:paraId="4840F9E6" w14:textId="77777777" w:rsidR="00D445C1" w:rsidRDefault="00D445C1" w:rsidP="00D445C1">
      <w:pPr>
        <w:rPr>
          <w:lang w:val="nb" w:bidi="nb"/>
        </w:rPr>
      </w:pPr>
    </w:p>
    <w:p w14:paraId="5129A2EB" w14:textId="0EE2BD45" w:rsidR="00D445C1" w:rsidRPr="00D445C1" w:rsidRDefault="00D445C1" w:rsidP="00D445C1">
      <w:pPr>
        <w:rPr>
          <w:lang w:val="nb" w:bidi="nb"/>
        </w:rPr>
      </w:pPr>
      <w:r w:rsidRPr="00D445C1">
        <w:rPr>
          <w:lang w:val="nb" w:bidi="nb"/>
        </w:rPr>
        <w:t>Hvilke læreplanmål som dekkes av de ulike kapitlene er angitt på</w:t>
      </w:r>
      <w:r>
        <w:rPr>
          <w:lang w:val="nb" w:bidi="nb"/>
        </w:rPr>
        <w:t xml:space="preserve"> de</w:t>
      </w:r>
      <w:r w:rsidRPr="00D445C1">
        <w:rPr>
          <w:lang w:val="nb" w:bidi="nb"/>
        </w:rPr>
        <w:t xml:space="preserve"> første sidene av hvert kapittel i læreboka.</w:t>
      </w:r>
    </w:p>
    <w:p w14:paraId="4FA13413" w14:textId="77777777" w:rsidR="008E31D2" w:rsidRPr="00D445C1" w:rsidRDefault="008E31D2" w:rsidP="008E31D2">
      <w:pPr>
        <w:rPr>
          <w:lang w:val="nb"/>
        </w:rPr>
      </w:pPr>
    </w:p>
    <w:sectPr w:rsidR="008E31D2" w:rsidRPr="00D445C1" w:rsidSect="003638EE">
      <w:headerReference w:type="default" r:id="rId8"/>
      <w:footerReference w:type="even" r:id="rId9"/>
      <w:footerReference w:type="default" r:id="rId10"/>
      <w:pgSz w:w="11900" w:h="16840"/>
      <w:pgMar w:top="1594" w:right="985" w:bottom="1134" w:left="1134" w:header="517" w:footer="3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35791" w14:textId="77777777" w:rsidR="00A02D0C" w:rsidRDefault="00A02D0C" w:rsidP="00A27252">
      <w:pPr>
        <w:spacing w:line="240" w:lineRule="auto"/>
      </w:pPr>
      <w:r>
        <w:separator/>
      </w:r>
    </w:p>
  </w:endnote>
  <w:endnote w:type="continuationSeparator" w:id="0">
    <w:p w14:paraId="48F84B55" w14:textId="77777777" w:rsidR="00A02D0C" w:rsidRDefault="00A02D0C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AD2B" w14:textId="77777777" w:rsidR="00F73D1C" w:rsidRDefault="00F73D1C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F73D1C" w:rsidRDefault="00F73D1C" w:rsidP="00A27252">
    <w:pPr>
      <w:pStyle w:val="Bunntekst"/>
      <w:ind w:right="360"/>
    </w:pPr>
  </w:p>
  <w:p w14:paraId="291ED50F" w14:textId="77777777" w:rsidR="00000000" w:rsidRDefault="00A02D0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B1C14" w14:textId="42AF00A9" w:rsidR="00F73D1C" w:rsidRPr="00F3606F" w:rsidRDefault="00F73D1C" w:rsidP="00F3606F">
    <w:pPr>
      <w:pStyle w:val="Bunntekst"/>
      <w:framePr w:h="253" w:hRule="exact" w:wrap="around" w:vAnchor="text" w:hAnchor="page" w:x="10765" w:y="112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CB3B60">
      <w:rPr>
        <w:rStyle w:val="Sidetall"/>
        <w:rFonts w:asciiTheme="majorHAnsi" w:hAnsiTheme="majorHAnsi"/>
        <w:noProof/>
        <w:sz w:val="20"/>
        <w:szCs w:val="20"/>
      </w:rPr>
      <w:t>2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6D7325F8" w:rsidR="00F73D1C" w:rsidRPr="00230BB2" w:rsidRDefault="00F73D1C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en-US"/>
      </w:rPr>
    </w:pPr>
    <w:r w:rsidRPr="00F3606F">
      <w:rPr>
        <w:rFonts w:asciiTheme="majorHAnsi" w:hAnsiTheme="majorHAnsi" w:cs="Helvetica"/>
        <w:sz w:val="20"/>
        <w:szCs w:val="20"/>
        <w:lang w:val="en-US"/>
      </w:rPr>
      <w:t>© H. Aschehoug &amp; Co</w:t>
    </w:r>
    <w:r w:rsidR="00DF768F">
      <w:rPr>
        <w:rFonts w:asciiTheme="majorHAnsi" w:hAnsiTheme="majorHAnsi" w:cs="Helvetica"/>
        <w:sz w:val="20"/>
        <w:szCs w:val="20"/>
        <w:lang w:val="en-US"/>
      </w:rPr>
      <w:t>.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www.lokus.no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Side</w:t>
    </w:r>
  </w:p>
  <w:p w14:paraId="3DF0FF36" w14:textId="77777777" w:rsidR="00000000" w:rsidRPr="00F647D2" w:rsidRDefault="00A02D0C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4EBB7" w14:textId="77777777" w:rsidR="00A02D0C" w:rsidRDefault="00A02D0C" w:rsidP="00A27252">
      <w:pPr>
        <w:spacing w:line="240" w:lineRule="auto"/>
      </w:pPr>
      <w:r>
        <w:separator/>
      </w:r>
    </w:p>
  </w:footnote>
  <w:footnote w:type="continuationSeparator" w:id="0">
    <w:p w14:paraId="55BAA3F2" w14:textId="77777777" w:rsidR="00A02D0C" w:rsidRDefault="00A02D0C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FB4A" w14:textId="34953CB6" w:rsidR="00F73D1C" w:rsidRPr="00E73ACB" w:rsidRDefault="00E00BC6" w:rsidP="00E73ACB">
    <w:pPr>
      <w:pStyle w:val="Topptekst"/>
      <w:tabs>
        <w:tab w:val="clear" w:pos="9072"/>
        <w:tab w:val="right" w:pos="9781"/>
      </w:tabs>
      <w:spacing w:after="40"/>
      <w:rPr>
        <w:rFonts w:asciiTheme="majorHAnsi" w:hAnsiTheme="majorHAnsi"/>
        <w:sz w:val="4"/>
        <w:szCs w:val="4"/>
      </w:rPr>
    </w:pPr>
    <w:r>
      <w:rPr>
        <w:rFonts w:asciiTheme="majorHAnsi" w:hAnsiTheme="majorHAnsi" w:cs="Times New Roman"/>
        <w:noProof/>
        <w:sz w:val="4"/>
        <w:szCs w:val="4"/>
      </w:rPr>
      <w:drawing>
        <wp:inline distT="0" distB="0" distL="0" distR="0" wp14:anchorId="42F23322" wp14:editId="5C46D447">
          <wp:extent cx="5387924" cy="315477"/>
          <wp:effectExtent l="0" t="0" r="0" b="0"/>
          <wp:docPr id="1" name="Bilde 1" descr="../../../../../Users/104745irlo/Desk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Users/104745irlo/Desk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178" cy="33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D1C" w:rsidRPr="00E73ACB">
      <w:rPr>
        <w:rFonts w:asciiTheme="majorHAnsi" w:hAnsiTheme="majorHAnsi" w:cs="Times New Roman"/>
        <w:sz w:val="4"/>
        <w:szCs w:val="4"/>
      </w:rPr>
      <w:tab/>
    </w:r>
  </w:p>
  <w:p w14:paraId="00FDF744" w14:textId="663E13CF" w:rsidR="00F73D1C" w:rsidRPr="003638EE" w:rsidRDefault="00F73D1C" w:rsidP="00A86B2F">
    <w:pPr>
      <w:pStyle w:val="Topptekst"/>
      <w:pBdr>
        <w:bottom w:val="single" w:sz="4" w:space="1" w:color="auto"/>
      </w:pBdr>
      <w:rPr>
        <w:sz w:val="4"/>
        <w:szCs w:val="4"/>
      </w:rPr>
    </w:pPr>
  </w:p>
  <w:p w14:paraId="546B5A90" w14:textId="77777777" w:rsidR="00000000" w:rsidRDefault="00A02D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46B"/>
    <w:multiLevelType w:val="multilevel"/>
    <w:tmpl w:val="431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B52D4"/>
    <w:multiLevelType w:val="multilevel"/>
    <w:tmpl w:val="B8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E5C33"/>
    <w:multiLevelType w:val="hybridMultilevel"/>
    <w:tmpl w:val="92A8E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39F5"/>
    <w:multiLevelType w:val="multilevel"/>
    <w:tmpl w:val="58B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B3CA7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20769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01648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226B5"/>
    <w:multiLevelType w:val="multilevel"/>
    <w:tmpl w:val="2EA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6701D"/>
    <w:multiLevelType w:val="hybridMultilevel"/>
    <w:tmpl w:val="A1ACDC1A"/>
    <w:lvl w:ilvl="0" w:tplc="8A148B70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E138C"/>
    <w:multiLevelType w:val="hybridMultilevel"/>
    <w:tmpl w:val="1E482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7BA3"/>
    <w:multiLevelType w:val="hybridMultilevel"/>
    <w:tmpl w:val="02E2D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B4D7B"/>
    <w:multiLevelType w:val="hybridMultilevel"/>
    <w:tmpl w:val="92320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F4342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D5BF1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0E3986"/>
    <w:multiLevelType w:val="hybridMultilevel"/>
    <w:tmpl w:val="2334D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638B5"/>
    <w:multiLevelType w:val="multilevel"/>
    <w:tmpl w:val="8276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21393"/>
    <w:multiLevelType w:val="hybridMultilevel"/>
    <w:tmpl w:val="37F40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0"/>
  </w:num>
  <w:num w:numId="5">
    <w:abstractNumId w:val="1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12"/>
  </w:num>
  <w:num w:numId="15">
    <w:abstractNumId w:val="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52"/>
    <w:rsid w:val="00041F0C"/>
    <w:rsid w:val="0008099B"/>
    <w:rsid w:val="000A2A11"/>
    <w:rsid w:val="000A3E00"/>
    <w:rsid w:val="0010475D"/>
    <w:rsid w:val="00152E16"/>
    <w:rsid w:val="0015656B"/>
    <w:rsid w:val="001B10C6"/>
    <w:rsid w:val="001B2960"/>
    <w:rsid w:val="001E71E2"/>
    <w:rsid w:val="00202418"/>
    <w:rsid w:val="00230BB2"/>
    <w:rsid w:val="002B1A6C"/>
    <w:rsid w:val="002E4B80"/>
    <w:rsid w:val="003135D1"/>
    <w:rsid w:val="00352D49"/>
    <w:rsid w:val="003638EE"/>
    <w:rsid w:val="003A192F"/>
    <w:rsid w:val="00492652"/>
    <w:rsid w:val="00524041"/>
    <w:rsid w:val="0054396E"/>
    <w:rsid w:val="00555B51"/>
    <w:rsid w:val="00596870"/>
    <w:rsid w:val="005F3F29"/>
    <w:rsid w:val="00704336"/>
    <w:rsid w:val="00743D9F"/>
    <w:rsid w:val="007630C3"/>
    <w:rsid w:val="007639D6"/>
    <w:rsid w:val="007C04A8"/>
    <w:rsid w:val="008462E9"/>
    <w:rsid w:val="008D1723"/>
    <w:rsid w:val="008E31D2"/>
    <w:rsid w:val="008E6D4C"/>
    <w:rsid w:val="009436C0"/>
    <w:rsid w:val="009437A9"/>
    <w:rsid w:val="00973325"/>
    <w:rsid w:val="00992579"/>
    <w:rsid w:val="00A02D0C"/>
    <w:rsid w:val="00A14387"/>
    <w:rsid w:val="00A27252"/>
    <w:rsid w:val="00A35735"/>
    <w:rsid w:val="00A83B3F"/>
    <w:rsid w:val="00A86B2F"/>
    <w:rsid w:val="00AD6D55"/>
    <w:rsid w:val="00B5464A"/>
    <w:rsid w:val="00BB565C"/>
    <w:rsid w:val="00CB3B60"/>
    <w:rsid w:val="00D34BE4"/>
    <w:rsid w:val="00D445C1"/>
    <w:rsid w:val="00DF768F"/>
    <w:rsid w:val="00E00BC6"/>
    <w:rsid w:val="00E16182"/>
    <w:rsid w:val="00E55205"/>
    <w:rsid w:val="00E73ACB"/>
    <w:rsid w:val="00E84002"/>
    <w:rsid w:val="00E97C24"/>
    <w:rsid w:val="00F3606F"/>
    <w:rsid w:val="00F40D07"/>
    <w:rsid w:val="00F47221"/>
    <w:rsid w:val="00F647D2"/>
    <w:rsid w:val="00F73D1C"/>
    <w:rsid w:val="00F947B9"/>
    <w:rsid w:val="00FB7FC7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B2D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4A"/>
    <w:pPr>
      <w:spacing w:line="32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31D2"/>
    <w:pPr>
      <w:keepNext/>
      <w:keepLines/>
      <w:spacing w:before="200"/>
      <w:outlineLvl w:val="0"/>
    </w:pPr>
    <w:rPr>
      <w:rFonts w:ascii="Verdana" w:eastAsiaTheme="majorEastAsia" w:hAnsi="Verdana" w:cstheme="majorBidi"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31D2"/>
    <w:pPr>
      <w:keepNext/>
      <w:keepLines/>
      <w:spacing w:before="400" w:after="100"/>
      <w:outlineLvl w:val="1"/>
    </w:pPr>
    <w:rPr>
      <w:rFonts w:ascii="Verdana" w:eastAsiaTheme="majorEastAsia" w:hAnsi="Verdana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E31D2"/>
    <w:pPr>
      <w:keepNext/>
      <w:keepLines/>
      <w:spacing w:before="200"/>
      <w:outlineLvl w:val="2"/>
    </w:pPr>
    <w:rPr>
      <w:rFonts w:ascii="Verdana" w:eastAsiaTheme="majorEastAsia" w:hAnsi="Verdan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E3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7630C3"/>
    <w:pPr>
      <w:spacing w:after="200" w:line="240" w:lineRule="auto"/>
      <w:ind w:left="720"/>
      <w:contextualSpacing/>
    </w:pPr>
    <w:rPr>
      <w:rFonts w:ascii="Verdana" w:eastAsiaTheme="minorHAnsi" w:hAnsi="Verdana"/>
      <w:sz w:val="20"/>
      <w:szCs w:val="22"/>
      <w:lang w:eastAsia="en-US"/>
    </w:rPr>
  </w:style>
  <w:style w:type="table" w:styleId="Tabellrutenett">
    <w:name w:val="Table Grid"/>
    <w:basedOn w:val="Vanligtabell"/>
    <w:uiPriority w:val="59"/>
    <w:rsid w:val="007630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E31D2"/>
    <w:rPr>
      <w:rFonts w:ascii="Verdana" w:eastAsiaTheme="majorEastAsia" w:hAnsi="Verdana" w:cstheme="majorBidi"/>
      <w:bCs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E31D2"/>
    <w:rPr>
      <w:rFonts w:ascii="Verdana" w:eastAsiaTheme="majorEastAsia" w:hAnsi="Verdana" w:cstheme="majorBidi"/>
      <w:bCs/>
      <w:sz w:val="32"/>
      <w:szCs w:val="26"/>
    </w:rPr>
  </w:style>
  <w:style w:type="paragraph" w:customStyle="1" w:styleId="Hengendeinntrykk">
    <w:name w:val="Hengende inntrykk"/>
    <w:basedOn w:val="Normal"/>
    <w:qFormat/>
    <w:rsid w:val="00B5464A"/>
    <w:pPr>
      <w:tabs>
        <w:tab w:val="left" w:pos="567"/>
      </w:tabs>
      <w:ind w:left="284" w:hanging="284"/>
    </w:pPr>
  </w:style>
  <w:style w:type="paragraph" w:customStyle="1" w:styleId="Underpunkt">
    <w:name w:val="Underpunkt"/>
    <w:basedOn w:val="Hengendeinntrykk"/>
    <w:qFormat/>
    <w:rsid w:val="00B5464A"/>
    <w:pPr>
      <w:ind w:left="568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8E31D2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E31D2"/>
    <w:rPr>
      <w:rFonts w:asciiTheme="majorHAnsi" w:eastAsiaTheme="majorEastAsia" w:hAnsiTheme="majorHAnsi" w:cstheme="majorBid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D445C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45C1"/>
    <w:pPr>
      <w:widowControl w:val="0"/>
      <w:autoSpaceDE w:val="0"/>
      <w:autoSpaceDN w:val="0"/>
      <w:spacing w:line="256" w:lineRule="exact"/>
      <w:ind w:left="107"/>
    </w:pPr>
    <w:rPr>
      <w:rFonts w:eastAsia="Times New Roman" w:cs="Times New Roman"/>
      <w:sz w:val="22"/>
      <w:szCs w:val="22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1F7B-4C4D-4456-9EDD-0E8B389B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Lohre</dc:creator>
  <cp:lastModifiedBy>Ida Knapstad</cp:lastModifiedBy>
  <cp:revision>5</cp:revision>
  <cp:lastPrinted>2018-05-02T17:06:00Z</cp:lastPrinted>
  <dcterms:created xsi:type="dcterms:W3CDTF">2018-05-02T17:04:00Z</dcterms:created>
  <dcterms:modified xsi:type="dcterms:W3CDTF">2018-05-02T17:06:00Z</dcterms:modified>
</cp:coreProperties>
</file>